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宋体" w:hAnsi="宋体" w:eastAsia="宋体" w:cs="宋体"/>
          <w:color w:val="auto"/>
          <w:sz w:val="32"/>
          <w:szCs w:val="40"/>
          <w:lang w:val="en-US" w:eastAsia="zh-CN"/>
        </w:rPr>
      </w:pPr>
      <w:bookmarkStart w:id="4" w:name="_GoBack"/>
      <w:bookmarkEnd w:id="4"/>
      <w:r>
        <w:rPr>
          <w:rFonts w:hint="eastAsia" w:ascii="宋体" w:hAnsi="宋体" w:cs="宋体"/>
          <w:b/>
          <w:color w:val="auto"/>
          <w:sz w:val="40"/>
          <w:szCs w:val="40"/>
          <w:lang w:val="en-US" w:eastAsia="zh-CN"/>
        </w:rPr>
        <w:t>采购需求</w:t>
      </w:r>
    </w:p>
    <w:p>
      <w:pPr>
        <w:spacing w:line="360" w:lineRule="auto"/>
        <w:ind w:firstLine="562" w:firstLineChars="200"/>
        <w:jc w:val="left"/>
        <w:outlineLvl w:val="9"/>
        <w:rPr>
          <w:rFonts w:hint="eastAsia" w:ascii="宋体" w:hAnsi="宋体" w:eastAsia="宋体" w:cs="宋体"/>
          <w:b/>
          <w:bCs/>
          <w:color w:val="auto"/>
          <w:sz w:val="28"/>
          <w:szCs w:val="28"/>
        </w:rPr>
      </w:pPr>
      <w:bookmarkStart w:id="0" w:name="_Toc15228"/>
      <w:bookmarkStart w:id="1" w:name="_Toc5688"/>
      <w:bookmarkStart w:id="2" w:name="_Toc5068"/>
      <w:bookmarkStart w:id="3" w:name="_Toc217446094"/>
    </w:p>
    <w:bookmarkEnd w:id="0"/>
    <w:bookmarkEnd w:id="1"/>
    <w:bookmarkEnd w:id="2"/>
    <w:bookmarkEnd w:id="3"/>
    <w:p>
      <w:pPr>
        <w:spacing w:line="400" w:lineRule="exact"/>
        <w:ind w:firstLine="475" w:firstLineChars="198"/>
        <w:outlineLvl w:val="9"/>
        <w:rPr>
          <w:rFonts w:hint="eastAsia" w:eastAsia="黑体"/>
          <w:color w:val="auto"/>
          <w:sz w:val="28"/>
          <w:szCs w:val="28"/>
          <w:lang w:eastAsia="zh-CN"/>
        </w:rPr>
      </w:pPr>
      <w:r>
        <w:rPr>
          <w:rFonts w:hint="eastAsia" w:ascii="宋体" w:hAnsi="宋体" w:eastAsia="宋体" w:cs="宋体"/>
          <w:color w:val="auto"/>
          <w:sz w:val="24"/>
          <w:szCs w:val="24"/>
        </w:rPr>
        <w:t>前提：标注“★”的条款为本项目的实质性要求条款，供应商应当完全响应。</w:t>
      </w:r>
    </w:p>
    <w:p>
      <w:pPr>
        <w:pStyle w:val="3"/>
        <w:spacing w:line="400" w:lineRule="exact"/>
        <w:ind w:firstLine="557" w:firstLineChars="198"/>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项目概述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成都市人民政府办公厅关于设立2024年成都世界园艺博览会筹备委员会的通知》，定于2024年4月-26日至10月28日举办2024成都世界园艺博览会（B类），主会场设在东部新区，分会场设在温江区、郫都区、新津区、邛崃市。2024年成都世界园艺博览会新津分会场拟选址天府农博园农博岛，占地面积约2.7平方公里，主要由天府农博主展馆、大田展区等部分组成。</w:t>
      </w:r>
    </w:p>
    <w:p>
      <w:pPr>
        <w:widowControl/>
        <w:adjustRightInd w:val="0"/>
        <w:snapToGrid w:val="0"/>
        <w:spacing w:after="156" w:afterLines="50" w:line="360" w:lineRule="auto"/>
        <w:ind w:firstLine="562" w:firstLineChars="200"/>
        <w:jc w:val="left"/>
        <w:outlineLvl w:val="1"/>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★二、技术、服务要求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（一）</w:t>
      </w:r>
      <w:r>
        <w:rPr>
          <w:rFonts w:hint="eastAsia" w:ascii="宋体" w:hAnsi="宋体" w:eastAsia="宋体" w:cs="宋体"/>
          <w:b/>
          <w:bCs w:val="0"/>
          <w:color w:val="auto"/>
          <w:sz w:val="24"/>
          <w:szCs w:val="24"/>
        </w:rPr>
        <w:t>服务内容</w:t>
      </w:r>
      <w:r>
        <w:rPr>
          <w:rFonts w:hint="eastAsia" w:ascii="宋体" w:hAnsi="宋体" w:eastAsia="宋体" w:cs="宋体"/>
          <w:b/>
          <w:bCs w:val="0"/>
          <w:color w:val="auto"/>
          <w:sz w:val="24"/>
          <w:szCs w:val="24"/>
          <w:lang w:val="en-US" w:eastAsia="zh-CN"/>
        </w:rPr>
        <w:t>及要求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1、前期准备：组建项目团队，制定工作方案，明确职责分工、目标任务、时间进度和保障措施。</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2、基础调研：采取现场踏勘、走访座谈、资料收集等方法，详细了解规划区域内现状资源、重点设施项目、配套设施等情况，全面收集相关基础资料。 </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规划编制：按照区域总体规划等上位规划明确的空间格局和管控要求，整理旅游规划的思路、目标、定位，在优化空间布局、构建分区功能产品、完善配套设施和提升管理服务等方面形成规划方案，并邀请高水平的专家学者为规划出谋划策，通过征求镇村、部门、群众、涉旅企业、涉旅协会意见，专家审查等方法，对规划方案进行充分论证，保证规划的科学性和可操作性。</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（二）</w:t>
      </w:r>
      <w:r>
        <w:rPr>
          <w:rFonts w:hint="eastAsia" w:ascii="宋体" w:hAnsi="宋体" w:eastAsia="宋体" w:cs="宋体"/>
          <w:b/>
          <w:bCs w:val="0"/>
          <w:color w:val="auto"/>
          <w:sz w:val="24"/>
          <w:szCs w:val="24"/>
        </w:rPr>
        <w:t>规划基本原则</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体现绿色低碳、可持续发展等原则</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rPr>
        <w:t>规划区域及期限</w:t>
      </w:r>
    </w:p>
    <w:p>
      <w:pPr>
        <w:pStyle w:val="4"/>
        <w:keepNext w:val="0"/>
        <w:keepLines w:val="0"/>
        <w:pageBreakBefore w:val="0"/>
        <w:kinsoku/>
        <w:wordWrap/>
        <w:overflowPunct/>
        <w:topLinePunct w:val="0"/>
        <w:autoSpaceDE/>
        <w:autoSpaceDN/>
        <w:bidi w:val="0"/>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1、规划范围：</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jc w:val="center"/>
        <w:textAlignment w:val="auto"/>
        <w:rPr>
          <w:rFonts w:hint="eastAsia" w:ascii="宋体" w:hAnsi="宋体" w:eastAsia="宋体" w:cs="宋体"/>
          <w:bCs/>
          <w:color w:val="auto"/>
          <w:sz w:val="28"/>
          <w:szCs w:val="28"/>
        </w:rPr>
      </w:pPr>
      <w:r>
        <w:rPr>
          <w:rFonts w:hint="eastAsia" w:ascii="宋体" w:hAnsi="宋体" w:eastAsia="宋体" w:cs="宋体"/>
          <w:color w:val="auto"/>
          <w:sz w:val="28"/>
          <w:szCs w:val="28"/>
        </w:rPr>
        <w:drawing>
          <wp:inline distT="0" distB="0" distL="114300" distR="114300">
            <wp:extent cx="3076575" cy="3456940"/>
            <wp:effectExtent l="0" t="0" r="9525" b="1016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4"/>
                    <a:stretch>
                      <a:fillRect/>
                    </a:stretch>
                  </pic:blipFill>
                  <pic:spPr>
                    <a:xfrm>
                      <a:off x="0" y="0"/>
                      <a:ext cx="3076575" cy="345694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w:t>
      </w:r>
      <w:r>
        <w:rPr>
          <w:rFonts w:hint="eastAsia" w:ascii="宋体" w:hAnsi="宋体" w:eastAsia="宋体" w:cs="宋体"/>
          <w:bCs/>
          <w:color w:val="auto"/>
          <w:sz w:val="24"/>
          <w:szCs w:val="24"/>
        </w:rPr>
        <w:t>规划（策划）期限： 2022-2024年</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rPr>
        <w:t>四</w:t>
      </w:r>
      <w:r>
        <w:rPr>
          <w:rFonts w:hint="eastAsia" w:ascii="宋体" w:hAnsi="宋体" w:eastAsia="宋体" w:cs="宋体"/>
          <w:b/>
          <w:bCs w:val="0"/>
          <w:color w:val="auto"/>
          <w:sz w:val="24"/>
          <w:szCs w:val="24"/>
          <w:lang w:val="en-US" w:eastAsia="zh-CN"/>
        </w:rPr>
        <w:t>）技术</w:t>
      </w:r>
      <w:r>
        <w:rPr>
          <w:rFonts w:hint="eastAsia" w:ascii="宋体" w:hAnsi="宋体" w:eastAsia="宋体" w:cs="宋体"/>
          <w:b/>
          <w:bCs w:val="0"/>
          <w:color w:val="auto"/>
          <w:sz w:val="24"/>
          <w:szCs w:val="24"/>
        </w:rPr>
        <w:t>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1.基本情况。包含与主会场及其他分会场规划衔接、规划范围、交通区位分析、主要空间载体分析、协同联动区域分析等。</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2.案例借鉴。在全球全国范围内，选择2-3个典型案例进行对标研究和剖析，为新津分会场开展农艺博览寻找突破路径和成功经验。</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3.市场规划。针对新津分会场特点及农博园运营发展要求，规划锁定细分客群，进一步明确农艺博览消费对象。</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4.总体思路。提出指导思想、规划原则、规划思路等，突出与主会场及其他分会场联动思路及新津“园产城”联动发展思路；明确新津分会场主题定位、发展目标、相关产业链及展览重点。</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展览规划。围绕新津分会场主题，结合空间载体实际情况，科学规划展览空间布局（包含农博岛整体功能布局、室内展馆功能布局、大田设计效果、道路沿线布局、消费体验布局、研学活动设计等），明确全区主要协同和联动点位，提出节点景观概念化设计方案思路（提供节点专项设计实施优质供应商名单），制定招展引展方案，除农博园自身品牌活动外配套活动策划方案（包含预热活动、世园会期间配套活动），展览规划要具有较强的可操作性。</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6.综合配套。科学测算空间游客承载量；提出游览、交通、餐饮、住宿、购物等具体配套设施要求。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7.投资运营保障。包含管理运营框架、投资效益分析、活动实施保障，明确下一步工作，形成项目推进及任务分工表。</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规划图件</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1.红线范围图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2.地理区位图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3.交通分析图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4.旅游区位图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5.综合条件分析图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6.联动结构图（包括新津分会场与主会场、其他分会场联动结构图；区域内联动支撑结构图）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7.博览总体布局图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8.室内展示空间布局图（包含游客参观游览线路）</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9.大田景观设计效果图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10.主要节点概念设计方案思路（包含节点设计执行优质供应商名单）</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11.配套服务布局图（包含游览服务、交通服务、餐饮服务、住宿服务、购物服务等）</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12.农艺产业链全景图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13.筹委办提出的其他与本规划相关图件</w:t>
      </w:r>
    </w:p>
    <w:p>
      <w:pPr>
        <w:pStyle w:val="2"/>
        <w:rPr>
          <w:rFonts w:hint="eastAsia" w:ascii="宋体" w:hAnsi="宋体" w:eastAsia="宋体" w:cs="宋体"/>
          <w:color w:val="auto"/>
        </w:rPr>
      </w:pPr>
      <w:r>
        <w:rPr>
          <w:rFonts w:hint="eastAsia" w:ascii="宋体" w:hAnsi="宋体" w:eastAsia="宋体" w:cs="宋体"/>
          <w:bCs/>
          <w:color w:val="auto"/>
          <w:sz w:val="28"/>
          <w:szCs w:val="28"/>
          <w:lang w:eastAsia="zh-CN"/>
        </w:rPr>
        <w:tab/>
      </w:r>
      <w:r>
        <w:rPr>
          <w:rFonts w:hint="eastAsia" w:ascii="宋体" w:hAnsi="宋体" w:eastAsia="宋体" w:cs="宋体"/>
          <w:b/>
          <w:color w:val="auto"/>
          <w:sz w:val="24"/>
        </w:rPr>
        <w:t>附录 ：规划（策划）图纸要求</w:t>
      </w:r>
    </w:p>
    <w:p>
      <w:pPr>
        <w:spacing w:line="288"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规划（策划）主要图纸</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4"/>
        <w:gridCol w:w="1929"/>
        <w:gridCol w:w="5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51" w:type="pct"/>
            <w:noWrap w:val="0"/>
            <w:vAlign w:val="top"/>
          </w:tcPr>
          <w:p>
            <w:pPr>
              <w:pStyle w:val="7"/>
              <w:spacing w:line="339" w:lineRule="exact"/>
              <w:ind w:left="140"/>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160" w:type="pct"/>
            <w:noWrap w:val="0"/>
            <w:vAlign w:val="center"/>
          </w:tcPr>
          <w:p>
            <w:pPr>
              <w:pStyle w:val="7"/>
              <w:spacing w:line="339" w:lineRule="exact"/>
              <w:ind w:left="499"/>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图件名称</w:t>
            </w:r>
          </w:p>
        </w:tc>
        <w:tc>
          <w:tcPr>
            <w:tcW w:w="3488" w:type="pct"/>
            <w:noWrap w:val="0"/>
            <w:vAlign w:val="center"/>
          </w:tcPr>
          <w:p>
            <w:pPr>
              <w:pStyle w:val="7"/>
              <w:spacing w:line="339" w:lineRule="exact"/>
              <w:ind w:left="2435" w:right="24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51" w:type="pct"/>
            <w:noWrap w:val="0"/>
            <w:vAlign w:val="center"/>
          </w:tcPr>
          <w:p>
            <w:pPr>
              <w:pStyle w:val="7"/>
              <w:spacing w:before="57"/>
              <w:ind w:left="107"/>
              <w:jc w:val="center"/>
              <w:rPr>
                <w:rFonts w:hint="eastAsia" w:ascii="宋体" w:hAnsi="宋体" w:eastAsia="宋体" w:cs="宋体"/>
                <w:color w:val="auto"/>
                <w:sz w:val="24"/>
                <w:szCs w:val="24"/>
              </w:rPr>
            </w:pPr>
            <w:r>
              <w:rPr>
                <w:rFonts w:hint="eastAsia" w:ascii="宋体" w:hAnsi="宋体" w:eastAsia="宋体" w:cs="宋体"/>
                <w:color w:val="auto"/>
                <w:w w:val="99"/>
                <w:sz w:val="24"/>
                <w:szCs w:val="24"/>
              </w:rPr>
              <w:t>1</w:t>
            </w:r>
          </w:p>
        </w:tc>
        <w:tc>
          <w:tcPr>
            <w:tcW w:w="1160" w:type="pct"/>
            <w:noWrap w:val="0"/>
            <w:vAlign w:val="center"/>
          </w:tcPr>
          <w:p>
            <w:pPr>
              <w:pStyle w:val="7"/>
              <w:spacing w:before="43"/>
              <w:ind w:left="108"/>
              <w:jc w:val="center"/>
              <w:rPr>
                <w:rFonts w:hint="eastAsia" w:ascii="宋体" w:hAnsi="宋体" w:eastAsia="宋体" w:cs="宋体"/>
                <w:color w:val="auto"/>
                <w:sz w:val="24"/>
                <w:szCs w:val="24"/>
              </w:rPr>
            </w:pPr>
            <w:r>
              <w:rPr>
                <w:rFonts w:hint="eastAsia" w:ascii="宋体" w:hAnsi="宋体" w:eastAsia="宋体" w:cs="宋体"/>
                <w:color w:val="auto"/>
                <w:sz w:val="24"/>
                <w:szCs w:val="24"/>
              </w:rPr>
              <w:t>规划区位图</w:t>
            </w:r>
          </w:p>
        </w:tc>
        <w:tc>
          <w:tcPr>
            <w:tcW w:w="3488" w:type="pct"/>
            <w:noWrap w:val="0"/>
            <w:vAlign w:val="center"/>
          </w:tcPr>
          <w:p>
            <w:pPr>
              <w:pStyle w:val="7"/>
              <w:spacing w:before="43"/>
              <w:ind w:left="106"/>
              <w:rPr>
                <w:rFonts w:hint="eastAsia" w:ascii="宋体" w:hAnsi="宋体" w:eastAsia="宋体" w:cs="宋体"/>
                <w:color w:val="auto"/>
                <w:sz w:val="24"/>
                <w:szCs w:val="24"/>
              </w:rPr>
            </w:pPr>
            <w:r>
              <w:rPr>
                <w:rFonts w:hint="eastAsia" w:ascii="宋体" w:hAnsi="宋体" w:eastAsia="宋体" w:cs="宋体"/>
                <w:color w:val="auto"/>
                <w:sz w:val="24"/>
                <w:szCs w:val="24"/>
              </w:rPr>
              <w:t>主要表达区位交通分析图、空间衔接分析图等内容。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351" w:type="pct"/>
            <w:noWrap w:val="0"/>
            <w:vAlign w:val="center"/>
          </w:tcPr>
          <w:p>
            <w:pPr>
              <w:pStyle w:val="7"/>
              <w:spacing w:before="57"/>
              <w:ind w:left="107"/>
              <w:jc w:val="center"/>
              <w:rPr>
                <w:rFonts w:hint="eastAsia" w:ascii="宋体" w:hAnsi="宋体" w:eastAsia="宋体" w:cs="宋体"/>
                <w:color w:val="auto"/>
                <w:sz w:val="24"/>
                <w:szCs w:val="24"/>
              </w:rPr>
            </w:pPr>
            <w:r>
              <w:rPr>
                <w:rFonts w:hint="eastAsia" w:ascii="宋体" w:hAnsi="宋体" w:eastAsia="宋体" w:cs="宋体"/>
                <w:color w:val="auto"/>
                <w:w w:val="99"/>
                <w:sz w:val="24"/>
                <w:szCs w:val="24"/>
              </w:rPr>
              <w:t>2</w:t>
            </w:r>
          </w:p>
        </w:tc>
        <w:tc>
          <w:tcPr>
            <w:tcW w:w="1160" w:type="pct"/>
            <w:noWrap w:val="0"/>
            <w:vAlign w:val="center"/>
          </w:tcPr>
          <w:p>
            <w:pPr>
              <w:pStyle w:val="7"/>
              <w:spacing w:before="43"/>
              <w:ind w:left="108"/>
              <w:jc w:val="center"/>
              <w:rPr>
                <w:rFonts w:hint="eastAsia" w:ascii="宋体" w:hAnsi="宋体" w:eastAsia="宋体" w:cs="宋体"/>
                <w:color w:val="auto"/>
                <w:sz w:val="24"/>
                <w:szCs w:val="24"/>
              </w:rPr>
            </w:pPr>
            <w:r>
              <w:rPr>
                <w:rFonts w:hint="eastAsia" w:ascii="宋体" w:hAnsi="宋体" w:eastAsia="宋体" w:cs="宋体"/>
                <w:color w:val="auto"/>
                <w:sz w:val="24"/>
                <w:szCs w:val="24"/>
              </w:rPr>
              <w:t>现状条件分析图</w:t>
            </w:r>
          </w:p>
        </w:tc>
        <w:tc>
          <w:tcPr>
            <w:tcW w:w="3488" w:type="pct"/>
            <w:noWrap w:val="0"/>
            <w:vAlign w:val="center"/>
          </w:tcPr>
          <w:p>
            <w:pPr>
              <w:pStyle w:val="7"/>
              <w:spacing w:before="43"/>
              <w:ind w:left="106"/>
              <w:rPr>
                <w:rFonts w:hint="eastAsia" w:ascii="宋体" w:hAnsi="宋体" w:eastAsia="宋体" w:cs="宋体"/>
                <w:color w:val="auto"/>
                <w:sz w:val="24"/>
                <w:szCs w:val="24"/>
              </w:rPr>
            </w:pPr>
            <w:r>
              <w:rPr>
                <w:rFonts w:hint="eastAsia" w:ascii="宋体" w:hAnsi="宋体" w:eastAsia="宋体" w:cs="宋体"/>
                <w:color w:val="auto"/>
                <w:sz w:val="24"/>
                <w:szCs w:val="24"/>
              </w:rPr>
              <w:t>主要表达主要载体设施分布图、生态基底分析图、联动项目分布图等。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351" w:type="pct"/>
            <w:noWrap w:val="0"/>
            <w:vAlign w:val="center"/>
          </w:tcPr>
          <w:p>
            <w:pPr>
              <w:pStyle w:val="7"/>
              <w:spacing w:before="57"/>
              <w:ind w:left="107"/>
              <w:jc w:val="center"/>
              <w:rPr>
                <w:rFonts w:hint="eastAsia" w:ascii="宋体" w:hAnsi="宋体" w:eastAsia="宋体" w:cs="宋体"/>
                <w:color w:val="auto"/>
                <w:sz w:val="24"/>
                <w:szCs w:val="24"/>
              </w:rPr>
            </w:pPr>
            <w:r>
              <w:rPr>
                <w:rFonts w:hint="eastAsia" w:ascii="宋体" w:hAnsi="宋体" w:eastAsia="宋体" w:cs="宋体"/>
                <w:color w:val="auto"/>
                <w:w w:val="99"/>
                <w:sz w:val="24"/>
                <w:szCs w:val="24"/>
              </w:rPr>
              <w:t>3</w:t>
            </w:r>
          </w:p>
        </w:tc>
        <w:tc>
          <w:tcPr>
            <w:tcW w:w="1160" w:type="pct"/>
            <w:noWrap w:val="0"/>
            <w:vAlign w:val="center"/>
          </w:tcPr>
          <w:p>
            <w:pPr>
              <w:pStyle w:val="7"/>
              <w:spacing w:before="43"/>
              <w:ind w:left="108"/>
              <w:jc w:val="center"/>
              <w:rPr>
                <w:rFonts w:hint="eastAsia" w:ascii="宋体" w:hAnsi="宋体" w:eastAsia="宋体" w:cs="宋体"/>
                <w:color w:val="auto"/>
                <w:sz w:val="24"/>
                <w:szCs w:val="24"/>
              </w:rPr>
            </w:pPr>
            <w:r>
              <w:rPr>
                <w:rFonts w:hint="eastAsia" w:ascii="宋体" w:hAnsi="宋体" w:eastAsia="宋体" w:cs="宋体"/>
                <w:color w:val="auto"/>
                <w:sz w:val="24"/>
                <w:szCs w:val="24"/>
              </w:rPr>
              <w:t>总体规划布局图</w:t>
            </w:r>
          </w:p>
        </w:tc>
        <w:tc>
          <w:tcPr>
            <w:tcW w:w="3488" w:type="pct"/>
            <w:noWrap w:val="0"/>
            <w:vAlign w:val="center"/>
          </w:tcPr>
          <w:p>
            <w:pPr>
              <w:pStyle w:val="7"/>
              <w:spacing w:before="43"/>
              <w:ind w:left="108"/>
              <w:jc w:val="left"/>
              <w:rPr>
                <w:rFonts w:hint="eastAsia" w:ascii="宋体" w:hAnsi="宋体" w:eastAsia="宋体" w:cs="宋体"/>
                <w:color w:val="auto"/>
                <w:sz w:val="24"/>
                <w:szCs w:val="24"/>
              </w:rPr>
            </w:pPr>
            <w:r>
              <w:rPr>
                <w:rFonts w:hint="eastAsia" w:ascii="宋体" w:hAnsi="宋体" w:eastAsia="宋体" w:cs="宋体"/>
                <w:color w:val="auto"/>
                <w:sz w:val="24"/>
                <w:szCs w:val="24"/>
              </w:rPr>
              <w:t>表达农艺展示重点结构图、空间布局图、分区项目布局图、重点场馆展示空间布局图、游览环线路图、景观节点布局图、新津“园产城”联动结构图等。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351" w:type="pct"/>
            <w:noWrap w:val="0"/>
            <w:vAlign w:val="center"/>
          </w:tcPr>
          <w:p>
            <w:pPr>
              <w:pStyle w:val="7"/>
              <w:spacing w:before="58"/>
              <w:ind w:left="107"/>
              <w:jc w:val="center"/>
              <w:rPr>
                <w:rFonts w:hint="eastAsia" w:ascii="宋体" w:hAnsi="宋体" w:eastAsia="宋体" w:cs="宋体"/>
                <w:color w:val="auto"/>
                <w:sz w:val="24"/>
                <w:szCs w:val="24"/>
              </w:rPr>
            </w:pPr>
            <w:r>
              <w:rPr>
                <w:rFonts w:hint="eastAsia" w:ascii="宋体" w:hAnsi="宋体" w:eastAsia="宋体" w:cs="宋体"/>
                <w:color w:val="auto"/>
                <w:w w:val="99"/>
                <w:sz w:val="24"/>
                <w:szCs w:val="24"/>
              </w:rPr>
              <w:t>4</w:t>
            </w:r>
          </w:p>
        </w:tc>
        <w:tc>
          <w:tcPr>
            <w:tcW w:w="1160" w:type="pct"/>
            <w:noWrap w:val="0"/>
            <w:vAlign w:val="center"/>
          </w:tcPr>
          <w:p>
            <w:pPr>
              <w:pStyle w:val="7"/>
              <w:spacing w:before="44"/>
              <w:ind w:left="108"/>
              <w:jc w:val="center"/>
              <w:rPr>
                <w:rFonts w:hint="eastAsia" w:ascii="宋体" w:hAnsi="宋体" w:eastAsia="宋体" w:cs="宋体"/>
                <w:color w:val="auto"/>
                <w:sz w:val="24"/>
                <w:szCs w:val="24"/>
              </w:rPr>
            </w:pPr>
            <w:r>
              <w:rPr>
                <w:rFonts w:hint="eastAsia" w:ascii="宋体" w:hAnsi="宋体" w:eastAsia="宋体" w:cs="宋体"/>
                <w:color w:val="auto"/>
                <w:sz w:val="24"/>
                <w:szCs w:val="24"/>
              </w:rPr>
              <w:t>配套规划图</w:t>
            </w:r>
          </w:p>
        </w:tc>
        <w:tc>
          <w:tcPr>
            <w:tcW w:w="3488" w:type="pct"/>
            <w:noWrap w:val="0"/>
            <w:vAlign w:val="center"/>
          </w:tcPr>
          <w:p>
            <w:pPr>
              <w:pStyle w:val="7"/>
              <w:spacing w:before="44"/>
              <w:ind w:left="106"/>
              <w:rPr>
                <w:rFonts w:hint="eastAsia" w:ascii="宋体" w:hAnsi="宋体" w:eastAsia="宋体" w:cs="宋体"/>
                <w:color w:val="auto"/>
                <w:sz w:val="24"/>
                <w:szCs w:val="24"/>
              </w:rPr>
            </w:pPr>
            <w:r>
              <w:rPr>
                <w:rFonts w:hint="eastAsia" w:ascii="宋体" w:hAnsi="宋体" w:eastAsia="宋体" w:cs="宋体"/>
                <w:color w:val="auto"/>
                <w:sz w:val="24"/>
                <w:szCs w:val="24"/>
              </w:rPr>
              <w:t>主要表达游览服务布局图、交通服务布局图、饮服务布局图、住宿服务布局图、购物服务布局图等。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51" w:type="pct"/>
            <w:noWrap w:val="0"/>
            <w:vAlign w:val="center"/>
          </w:tcPr>
          <w:p>
            <w:pPr>
              <w:pStyle w:val="7"/>
              <w:spacing w:before="58"/>
              <w:ind w:left="107"/>
              <w:jc w:val="center"/>
              <w:rPr>
                <w:rFonts w:hint="eastAsia" w:ascii="宋体" w:hAnsi="宋体" w:eastAsia="宋体" w:cs="宋体"/>
                <w:color w:val="auto"/>
                <w:sz w:val="24"/>
                <w:szCs w:val="24"/>
              </w:rPr>
            </w:pPr>
            <w:r>
              <w:rPr>
                <w:rFonts w:hint="eastAsia" w:ascii="宋体" w:hAnsi="宋体" w:eastAsia="宋体" w:cs="宋体"/>
                <w:color w:val="auto"/>
                <w:w w:val="99"/>
                <w:sz w:val="24"/>
                <w:szCs w:val="24"/>
              </w:rPr>
              <w:t>5</w:t>
            </w:r>
          </w:p>
        </w:tc>
        <w:tc>
          <w:tcPr>
            <w:tcW w:w="1160" w:type="pct"/>
            <w:noWrap w:val="0"/>
            <w:vAlign w:val="center"/>
          </w:tcPr>
          <w:p>
            <w:pPr>
              <w:pStyle w:val="7"/>
              <w:spacing w:before="44"/>
              <w:ind w:left="108"/>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其他规划图</w:t>
            </w:r>
          </w:p>
        </w:tc>
        <w:tc>
          <w:tcPr>
            <w:tcW w:w="3488" w:type="pct"/>
            <w:noWrap w:val="0"/>
            <w:vAlign w:val="center"/>
          </w:tcPr>
          <w:p>
            <w:pPr>
              <w:pStyle w:val="7"/>
              <w:spacing w:before="44"/>
              <w:ind w:left="106"/>
              <w:rPr>
                <w:rFonts w:hint="eastAsia" w:ascii="宋体" w:hAnsi="宋体" w:eastAsia="宋体" w:cs="宋体"/>
                <w:color w:val="auto"/>
                <w:sz w:val="24"/>
                <w:szCs w:val="24"/>
              </w:rPr>
            </w:pPr>
            <w:r>
              <w:rPr>
                <w:rFonts w:hint="eastAsia" w:ascii="宋体" w:hAnsi="宋体" w:eastAsia="宋体" w:cs="宋体"/>
                <w:color w:val="auto"/>
                <w:sz w:val="24"/>
                <w:szCs w:val="24"/>
              </w:rPr>
              <w:t>依据需要绘制，包括新津分会场范围图、大田景观设计效果图、消费业态示意图等。</w:t>
            </w:r>
          </w:p>
        </w:tc>
      </w:tr>
    </w:tbl>
    <w:p>
      <w:pPr>
        <w:pStyle w:val="4"/>
        <w:tabs>
          <w:tab w:val="left" w:pos="610"/>
        </w:tabs>
        <w:rPr>
          <w:rFonts w:hint="eastAsia" w:eastAsia="宋体"/>
          <w:color w:val="auto"/>
          <w:lang w:eastAsia="zh-CN"/>
        </w:rPr>
      </w:pP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成果要求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8"/>
          <w:szCs w:val="28"/>
        </w:rPr>
        <w:t>（</w:t>
      </w:r>
      <w:r>
        <w:rPr>
          <w:rFonts w:hint="eastAsia" w:ascii="宋体" w:hAnsi="宋体" w:eastAsia="宋体" w:cs="宋体"/>
          <w:bCs/>
          <w:color w:val="auto"/>
          <w:sz w:val="24"/>
          <w:szCs w:val="24"/>
        </w:rPr>
        <w:t>1）签订合同后30个工作日内提供初步成果，60个工作日内提交用于新津区级相关部门审查的规划终稿。</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（2）供应商提交给采购人的完成稿《2024年成都世界园艺博览会新津分会场总体规划》应对新津区级相关单位进行意见征集且通过审查或验收后的最终版。 </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本规划成果以PPT形式呈现，提交纸质成果6份、电子文档1份。</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2" w:firstLineChars="200"/>
        <w:jc w:val="left"/>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其他要求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保密要求：本项目规划过程中所涉及的所有信息资料（包含采购人提供的和成交供应商自行收集的）所有权归采购人所有，采购人有权决定所有资料的使用方法和使用范围，未经采购人同意，成交供应商不得以任何形式向第三者透露信息资料，否则采购人有权追究其法律责任。</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在实施过程中，供应商负责相应的安全管理工作，避免发生安全事故（包括人员安全事故责任、与第三方的劳务纠纷、项目实施过程中的劳务纠纷及人员伤害等），若出现安全事故由供应商负责承担相关责任及经济损失。</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、技术标准及规范：应满足现行有效的国家相关标准、行业标准、地方标准以及相关规范等。质量、安全、技术规格等参数应满足国家、行业、地方相关标准和要求。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2" w:firstLineChars="200"/>
        <w:jc w:val="left"/>
        <w:textAlignment w:val="auto"/>
        <w:outlineLvl w:val="1"/>
        <w:rPr>
          <w:rFonts w:hint="eastAsia" w:ascii="宋体" w:hAnsi="宋体" w:eastAsia="宋体" w:cs="宋体"/>
          <w:bCs/>
          <w:color w:val="auto"/>
          <w:sz w:val="28"/>
          <w:szCs w:val="28"/>
        </w:rPr>
      </w:pPr>
      <w:r>
        <w:rPr>
          <w:rFonts w:hint="eastAsia" w:ascii="宋体" w:hAnsi="宋体" w:eastAsia="宋体" w:cs="宋体"/>
          <w:b/>
          <w:bCs w:val="0"/>
          <w:color w:val="auto"/>
          <w:sz w:val="28"/>
          <w:szCs w:val="28"/>
          <w:lang w:val="en-US" w:eastAsia="zh-CN"/>
        </w:rPr>
        <w:t>三、人员配置要求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供应商负责组建项目团队，项目团队至少配置项目负责人1名，技术负责人1名，项目团队成员不少于6人；项目负责人负责整体工作安排、与采购人衔接等工作。在项目实施过程中，供应商拟配置项目团队成员应保持不变，若项目团队成员有变更的，应及时通知采购人，在取得采购人书面同意后方可变更，且须提供变更后的人员信息至采购人处。</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提供承诺函</w:t>
      </w:r>
      <w:r>
        <w:rPr>
          <w:rFonts w:hint="eastAsia" w:ascii="宋体" w:hAnsi="宋体" w:eastAsia="宋体" w:cs="宋体"/>
          <w:b/>
          <w:bCs w:val="0"/>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562" w:firstLineChars="200"/>
        <w:jc w:val="left"/>
        <w:textAlignment w:val="auto"/>
        <w:outlineLvl w:val="1"/>
        <w:rPr>
          <w:rFonts w:hint="eastAsia" w:ascii="宋体" w:hAnsi="宋体" w:eastAsia="宋体" w:cs="宋体"/>
          <w:bCs/>
          <w:color w:val="auto"/>
          <w:sz w:val="28"/>
          <w:szCs w:val="28"/>
        </w:rPr>
      </w:pPr>
      <w:r>
        <w:rPr>
          <w:rFonts w:hint="eastAsia" w:ascii="宋体" w:hAnsi="宋体" w:eastAsia="宋体" w:cs="宋体"/>
          <w:b/>
          <w:bCs w:val="0"/>
          <w:color w:val="auto"/>
          <w:sz w:val="28"/>
          <w:szCs w:val="28"/>
          <w:lang w:val="en-US" w:eastAsia="zh-CN"/>
        </w:rPr>
        <w:t>★四</w:t>
      </w:r>
      <w:r>
        <w:rPr>
          <w:rFonts w:hint="eastAsia" w:ascii="宋体" w:hAnsi="宋体" w:eastAsia="宋体" w:cs="宋体"/>
          <w:b/>
          <w:bCs w:val="0"/>
          <w:color w:val="auto"/>
          <w:sz w:val="28"/>
          <w:szCs w:val="28"/>
        </w:rPr>
        <w:t>、商务要求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1、完成时间：</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（1）自签订合同之日起</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日历天内，编制完成《2024年成都世界园艺博览会新津分会场总体规划》初稿。</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（2）自签订合同之日起60日历天内，编制完成《2024年成都世界园艺博览会新津分会场总体规划》最终版。</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2、实施地点：采购人指定地点</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3、付款方式：</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（1）签订合同后，收到供应商提供的有效发票后10个工作日内支付合同金额的40%；</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供应商通过采购人组织的专家评审会后，收到供应商提供的有效发票后10个工作日内支付合同金额的40%;</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供应商通过新津区级相关部门审查或采购人验收后（以通过最终审查为准），收到供应商提供的有效发票后10个工作日内支付合同金额的20%</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4"/>
          <w:szCs w:val="24"/>
        </w:rPr>
        <w:t>4、验收标准：采购人将严格按照政府采购相关法律法规以及《财政部关于进一步加强政府采购需求和履约验收管理的指导意见》(财库</w:t>
      </w:r>
      <w:r>
        <w:rPr>
          <w:rFonts w:hint="eastAsia" w:ascii="宋体" w:hAnsi="宋体" w:eastAsia="宋体" w:cs="宋体"/>
          <w:color w:val="auto"/>
          <w:sz w:val="24"/>
          <w:szCs w:val="24"/>
        </w:rPr>
        <w:t>〔2016〕</w:t>
      </w:r>
      <w:r>
        <w:rPr>
          <w:rFonts w:hint="eastAsia" w:ascii="宋体" w:hAnsi="宋体" w:eastAsia="宋体" w:cs="宋体"/>
          <w:bCs/>
          <w:color w:val="auto"/>
          <w:sz w:val="24"/>
          <w:szCs w:val="24"/>
        </w:rPr>
        <w:t>205号)的要求，按照磋商文件要求及响应文件应答等内容进行验收。</w:t>
      </w:r>
      <w:r>
        <w:rPr>
          <w:rFonts w:hint="eastAsia" w:ascii="宋体" w:hAnsi="宋体" w:eastAsia="宋体" w:cs="宋体"/>
          <w:bCs/>
          <w:color w:val="auto"/>
          <w:sz w:val="28"/>
          <w:szCs w:val="28"/>
        </w:rPr>
        <w:t xml:space="preserve">                 </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5、验收方式：按照采购项目具体要求</w:t>
      </w:r>
      <w:r>
        <w:rPr>
          <w:rFonts w:hint="eastAsia" w:ascii="宋体" w:hAnsi="宋体" w:eastAsia="宋体" w:cs="宋体"/>
          <w:bCs/>
          <w:color w:val="auto"/>
          <w:sz w:val="24"/>
          <w:szCs w:val="24"/>
          <w:lang w:val="en-US" w:eastAsia="zh-CN"/>
        </w:rPr>
        <w:t>进行专家验收</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6、其</w:t>
      </w:r>
      <w:r>
        <w:rPr>
          <w:rFonts w:hint="eastAsia" w:ascii="宋体" w:hAnsi="宋体" w:eastAsia="宋体" w:cs="宋体"/>
          <w:bCs/>
          <w:color w:val="auto"/>
          <w:sz w:val="24"/>
          <w:szCs w:val="24"/>
          <w:lang w:val="en-US" w:eastAsia="zh-CN"/>
        </w:rPr>
        <w:t>它</w:t>
      </w:r>
      <w:r>
        <w:rPr>
          <w:rFonts w:hint="eastAsia" w:ascii="宋体" w:hAnsi="宋体" w:eastAsia="宋体" w:cs="宋体"/>
          <w:bCs/>
          <w:color w:val="auto"/>
          <w:sz w:val="24"/>
          <w:szCs w:val="24"/>
        </w:rPr>
        <w:t>要求：</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（1）供应商的报价是满足采购需求全部内容的价格体现，即为完成本项目所涉及的一切费用。</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（2）其他相关事宜：在本采购文件中没有提及的与本项目履约切实相关的事宜，由采购人与成交供应商签订合同时明细约定。</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采购人有权不定期核对</w:t>
      </w:r>
      <w:r>
        <w:rPr>
          <w:rFonts w:hint="eastAsia" w:ascii="宋体" w:hAnsi="宋体" w:eastAsia="宋体" w:cs="宋体"/>
          <w:bCs/>
          <w:color w:val="auto"/>
          <w:sz w:val="24"/>
          <w:szCs w:val="24"/>
          <w:lang w:val="en-US" w:eastAsia="zh-CN"/>
        </w:rPr>
        <w:t>成交</w:t>
      </w:r>
      <w:r>
        <w:rPr>
          <w:rFonts w:hint="eastAsia" w:ascii="宋体" w:hAnsi="宋体" w:eastAsia="宋体" w:cs="宋体"/>
          <w:bCs/>
          <w:color w:val="auto"/>
          <w:sz w:val="24"/>
          <w:szCs w:val="24"/>
        </w:rPr>
        <w:t>供应商提供服务所配备的人员数量及相关信息，对于未按照采购文件及响应文件</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采购合同</w:t>
      </w:r>
      <w:r>
        <w:rPr>
          <w:rFonts w:hint="eastAsia" w:ascii="宋体" w:hAnsi="宋体" w:eastAsia="宋体" w:cs="宋体"/>
          <w:bCs/>
          <w:color w:val="auto"/>
          <w:sz w:val="24"/>
          <w:szCs w:val="24"/>
        </w:rPr>
        <w:t>执行或存在不合理的部分有权下达整改通知书，并要求</w:t>
      </w:r>
      <w:r>
        <w:rPr>
          <w:rFonts w:hint="eastAsia" w:ascii="宋体" w:hAnsi="宋体" w:eastAsia="宋体" w:cs="宋体"/>
          <w:bCs/>
          <w:color w:val="auto"/>
          <w:sz w:val="24"/>
          <w:szCs w:val="24"/>
          <w:lang w:val="en-US" w:eastAsia="zh-CN"/>
        </w:rPr>
        <w:t>成交</w:t>
      </w:r>
      <w:r>
        <w:rPr>
          <w:rFonts w:hint="eastAsia" w:ascii="宋体" w:hAnsi="宋体" w:eastAsia="宋体" w:cs="宋体"/>
          <w:bCs/>
          <w:color w:val="auto"/>
          <w:sz w:val="24"/>
          <w:szCs w:val="24"/>
        </w:rPr>
        <w:t>供应商限期整改，并根据违约情况扣除相应合同价款。</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在项目实施过程中接受采购人的监督。</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供应商不得以采购人名义从事与本项目无关的其他任何活动,否则,采购人有权单方面终止采购合同,并追究供应商责任。</w:t>
      </w:r>
    </w:p>
    <w:p>
      <w:pPr>
        <w:keepNext w:val="0"/>
        <w:keepLines w:val="0"/>
        <w:pageBreakBefore w:val="0"/>
        <w:widowControl/>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违约责任</w:t>
      </w:r>
    </w:p>
    <w:p>
      <w:pPr>
        <w:widowControl/>
        <w:adjustRightInd w:val="0"/>
        <w:snapToGrid w:val="0"/>
        <w:spacing w:line="360" w:lineRule="auto"/>
        <w:ind w:firstLine="552"/>
        <w:jc w:val="left"/>
        <w:rPr>
          <w:rFonts w:ascii="宋体" w:hAnsi="宋体" w:eastAsia="宋体" w:cs="宋体"/>
          <w:bCs/>
          <w:color w:val="auto"/>
          <w:sz w:val="24"/>
          <w:szCs w:val="24"/>
        </w:rPr>
      </w:pPr>
      <w:r>
        <w:rPr>
          <w:rFonts w:hint="eastAsia" w:ascii="宋体" w:hAnsi="宋体" w:eastAsia="宋体" w:cs="宋体"/>
          <w:bCs/>
          <w:color w:val="auto"/>
          <w:sz w:val="24"/>
          <w:szCs w:val="24"/>
        </w:rPr>
        <w:t>1、供应商必须遵循采购合同并执行合同中的各项规定，保证采购合同的正常履行；</w:t>
      </w:r>
    </w:p>
    <w:p>
      <w:pPr>
        <w:widowControl/>
        <w:adjustRightInd w:val="0"/>
        <w:snapToGrid w:val="0"/>
        <w:spacing w:line="360" w:lineRule="auto"/>
        <w:ind w:firstLine="552"/>
        <w:jc w:val="left"/>
        <w:rPr>
          <w:rFonts w:ascii="宋体" w:hAnsi="宋体" w:eastAsia="宋体" w:cs="宋体"/>
          <w:bCs/>
          <w:color w:val="auto"/>
          <w:sz w:val="24"/>
          <w:szCs w:val="24"/>
        </w:rPr>
      </w:pPr>
      <w:r>
        <w:rPr>
          <w:rFonts w:hint="eastAsia" w:ascii="宋体" w:hAnsi="宋体" w:eastAsia="宋体" w:cs="宋体"/>
          <w:bCs/>
          <w:color w:val="auto"/>
          <w:sz w:val="24"/>
          <w:szCs w:val="24"/>
        </w:rPr>
        <w:t>2、供应商应当确保所交付的工作成果不侵犯任何第三方的权利（包括但不限于商业秘密、著作权、专利权、商标权等），否则，导致采购人损失的，供应商应当承担赔偿责任；采购人有权选择要求供应商继续履行合同或解除合同，采购人要求供应商继续履行合同的，供应商不得另行收取费用，且应当承担迟延交付的违约责任；采购人要求解除合同的，供应商应当退还采购人已经支付的全部费用，且应当支付合同签约总价款</w:t>
      </w:r>
      <w:r>
        <w:rPr>
          <w:rFonts w:ascii="宋体" w:hAnsi="宋体" w:eastAsia="宋体" w:cs="宋体"/>
          <w:bCs/>
          <w:color w:val="auto"/>
          <w:sz w:val="24"/>
          <w:szCs w:val="24"/>
        </w:rPr>
        <w:t>30</w:t>
      </w:r>
      <w:r>
        <w:rPr>
          <w:rFonts w:hint="eastAsia" w:ascii="宋体" w:hAnsi="宋体" w:eastAsia="宋体" w:cs="宋体"/>
          <w:bCs/>
          <w:color w:val="auto"/>
          <w:sz w:val="24"/>
          <w:szCs w:val="24"/>
        </w:rPr>
        <w:t>%的违约金。</w:t>
      </w:r>
    </w:p>
    <w:p>
      <w:pPr>
        <w:widowControl/>
        <w:adjustRightInd w:val="0"/>
        <w:snapToGrid w:val="0"/>
        <w:spacing w:line="360" w:lineRule="auto"/>
        <w:ind w:firstLine="552"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3、供应商未按照本合同约定的期限提交工作成果，或者未在采购人指定的期限内完成整改的，每逾期一日，供应商应当按照合同签约总价款的万分之五支付违约金，逾期超过3</w:t>
      </w:r>
      <w:r>
        <w:rPr>
          <w:rFonts w:ascii="宋体" w:hAnsi="宋体" w:eastAsia="宋体" w:cs="宋体"/>
          <w:bCs/>
          <w:color w:val="auto"/>
          <w:sz w:val="24"/>
          <w:szCs w:val="24"/>
        </w:rPr>
        <w:t>0</w:t>
      </w:r>
      <w:r>
        <w:rPr>
          <w:rFonts w:hint="eastAsia" w:ascii="宋体" w:hAnsi="宋体" w:eastAsia="宋体" w:cs="宋体"/>
          <w:bCs/>
          <w:color w:val="auto"/>
          <w:sz w:val="24"/>
          <w:szCs w:val="24"/>
        </w:rPr>
        <w:t>日的，采购人有权解除合同，并要求供应商支付签约总价款</w:t>
      </w:r>
      <w:r>
        <w:rPr>
          <w:rFonts w:ascii="宋体" w:hAnsi="宋体" w:eastAsia="宋体" w:cs="宋体"/>
          <w:bCs/>
          <w:color w:val="auto"/>
          <w:sz w:val="24"/>
          <w:szCs w:val="24"/>
        </w:rPr>
        <w:t>30</w:t>
      </w:r>
      <w:r>
        <w:rPr>
          <w:rFonts w:hint="eastAsia" w:ascii="宋体" w:hAnsi="宋体" w:eastAsia="宋体" w:cs="宋体"/>
          <w:bCs/>
          <w:color w:val="auto"/>
          <w:sz w:val="24"/>
          <w:szCs w:val="24"/>
        </w:rPr>
        <w:t>%的违约金。</w:t>
      </w:r>
    </w:p>
    <w:p>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ascii="宋体" w:hAnsi="宋体" w:eastAsia="宋体" w:cs="宋体"/>
          <w:bCs/>
          <w:color w:val="auto"/>
          <w:sz w:val="24"/>
          <w:szCs w:val="24"/>
        </w:rPr>
        <w:t>4</w:t>
      </w:r>
      <w:r>
        <w:rPr>
          <w:rFonts w:hint="eastAsia" w:ascii="宋体" w:hAnsi="宋体" w:eastAsia="宋体" w:cs="宋体"/>
          <w:bCs/>
          <w:color w:val="auto"/>
          <w:sz w:val="24"/>
          <w:szCs w:val="24"/>
        </w:rPr>
        <w:t>、如因供应商工作人员在履行职务过程中的疏忽、失职、过错等故意或者过失原因给采购人造成的损失或侵害，包括但不限于采购人本身的财产损失，由此而导致的采购人对任何第三方的法律责任等，供应商对此均应承担全部的赔偿责任；</w:t>
      </w:r>
    </w:p>
    <w:p>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ascii="宋体" w:hAnsi="宋体" w:eastAsia="宋体" w:cs="宋体"/>
          <w:bCs/>
          <w:color w:val="auto"/>
          <w:sz w:val="24"/>
          <w:szCs w:val="24"/>
        </w:rPr>
        <w:t>5</w:t>
      </w:r>
      <w:r>
        <w:rPr>
          <w:rFonts w:hint="eastAsia" w:ascii="宋体" w:hAnsi="宋体" w:eastAsia="宋体" w:cs="宋体"/>
          <w:bCs/>
          <w:color w:val="auto"/>
          <w:sz w:val="24"/>
          <w:szCs w:val="24"/>
        </w:rPr>
        <w:t>、供应商应当遵循采购人的相关项目需求及相关技术要求及实质性条款，实施完成采购合同应当完全满足相关项目需求及实质性条款，若供应商瑕疵履约采购合同，采购人有权向供应商要求赔偿对应合同总价款20%的违约金，若造成相关损失的，采购人有权要求供应商承担所有赔偿责任。</w:t>
      </w:r>
    </w:p>
    <w:p>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6、有下列情形之一，当事人可以解除合同：</w:t>
      </w:r>
    </w:p>
    <w:p>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6.1应不可抗力致使不能实现合同目的（由于非供应商或采购人原因，致使合同实质性条款无法实现）；</w:t>
      </w:r>
    </w:p>
    <w:p>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6.2当事人一方迟延履行主要债务，经催告后在合理期限内仍未履行；</w:t>
      </w:r>
    </w:p>
    <w:p>
      <w:pPr>
        <w:widowControl/>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6.3当事人迟延履行债务或者有其他违约行为致使不能实现合同目的。</w:t>
      </w:r>
    </w:p>
    <w:p>
      <w:pPr>
        <w:widowControl/>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Cs/>
          <w:color w:val="auto"/>
          <w:sz w:val="24"/>
          <w:szCs w:val="24"/>
        </w:rPr>
        <w:t>6.4法律规定的其他情形。</w:t>
      </w:r>
    </w:p>
    <w:p>
      <w:pPr>
        <w:keepNext w:val="0"/>
        <w:keepLines w:val="0"/>
        <w:pageBreakBefore w:val="0"/>
        <w:widowControl/>
        <w:numPr>
          <w:ilvl w:val="0"/>
          <w:numId w:val="0"/>
        </w:numPr>
        <w:kinsoku/>
        <w:wordWrap/>
        <w:overflowPunct/>
        <w:topLinePunct w:val="0"/>
        <w:autoSpaceDE/>
        <w:autoSpaceDN/>
        <w:bidi w:val="0"/>
        <w:adjustRightInd w:val="0"/>
        <w:snapToGrid w:val="0"/>
        <w:spacing w:after="156" w:afterLines="50" w:line="36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解决争议的方法</w:t>
      </w:r>
    </w:p>
    <w:p>
      <w:pPr>
        <w:pStyle w:val="4"/>
        <w:numPr>
          <w:ilvl w:val="0"/>
          <w:numId w:val="0"/>
        </w:numPr>
        <w:spacing w:line="360" w:lineRule="auto"/>
        <w:ind w:firstLine="480" w:firstLineChars="200"/>
        <w:rPr>
          <w:rFonts w:hint="eastAsia"/>
          <w:color w:val="auto"/>
          <w:sz w:val="20"/>
          <w:szCs w:val="21"/>
        </w:rPr>
      </w:pPr>
      <w:r>
        <w:rPr>
          <w:rFonts w:hint="eastAsia" w:ascii="宋体" w:hAnsi="宋体" w:eastAsia="宋体" w:cs="宋体"/>
          <w:color w:val="auto"/>
          <w:sz w:val="24"/>
          <w:szCs w:val="24"/>
        </w:rPr>
        <w:t>合同履行期间：若双方发生争议，可协商或由有关部门调解解决，协商或调解不成的，按照下列方式解决：可向采购方所在地人民法院提起诉讼。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2RiNmE0NzUyNjYwZDhjNGJkNTYxZDFlMzk4Y2IifQ=="/>
  </w:docVars>
  <w:rsids>
    <w:rsidRoot w:val="77F95A65"/>
    <w:rsid w:val="12E36260"/>
    <w:rsid w:val="1A264546"/>
    <w:rsid w:val="77F9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Salutation"/>
    <w:basedOn w:val="1"/>
    <w:next w:val="1"/>
    <w:qFormat/>
    <w:uiPriority w:val="0"/>
    <w:rPr>
      <w:rFonts w:ascii="Calibri" w:hAnsi="Calibri" w:eastAsia="宋体"/>
      <w:sz w:val="21"/>
      <w:szCs w:val="22"/>
    </w:rPr>
  </w:style>
  <w:style w:type="paragraph" w:customStyle="1" w:styleId="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3681</Words>
  <Characters>3778</Characters>
  <Lines>0</Lines>
  <Paragraphs>0</Paragraphs>
  <TotalTime>0</TotalTime>
  <ScaleCrop>false</ScaleCrop>
  <LinksUpToDate>false</LinksUpToDate>
  <CharactersWithSpaces>3801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2022-07-19T08:10:00Z</dcterms:created>
  <dc:creator>pirest</dc:creator>
  <cp:lastModifiedBy>四川省会议展览业协会</cp:lastModifiedBy>
  <dcterms:modified xsi:type="dcterms:W3CDTF">2022-08-09T02:50:07Z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0351C2AC96A449EC90945ED7F2388B12</vt:lpwstr>
  </property>
</Properties>
</file>